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0A30" w14:textId="04D35DBF" w:rsidR="00CF14FA" w:rsidRPr="001008AF" w:rsidRDefault="00CF14FA" w:rsidP="00CF14FA">
      <w:pPr>
        <w:pStyle w:val="1Zeile"/>
        <w:jc w:val="left"/>
      </w:pPr>
      <w:r>
        <w:t>Gutjahr</w:t>
      </w:r>
      <w:r w:rsidR="00613927">
        <w:t>-</w:t>
      </w:r>
      <w:r>
        <w:t xml:space="preserve"> und </w:t>
      </w:r>
      <w:proofErr w:type="spellStart"/>
      <w:r>
        <w:t>tubag</w:t>
      </w:r>
      <w:proofErr w:type="spellEnd"/>
      <w:r w:rsidR="00613927">
        <w:t>-Produkte</w:t>
      </w:r>
    </w:p>
    <w:p w14:paraId="6A16B19F" w14:textId="77777777" w:rsidR="00CF14FA" w:rsidRDefault="00CF14FA" w:rsidP="00CF14FA">
      <w:pPr>
        <w:pStyle w:val="BickenbachBergstrae-Datum"/>
        <w:jc w:val="left"/>
        <w:rPr>
          <w:rFonts w:cs="Arial"/>
          <w:sz w:val="28"/>
          <w:szCs w:val="28"/>
        </w:rPr>
      </w:pPr>
      <w:r>
        <w:rPr>
          <w:rFonts w:cs="Arial"/>
          <w:sz w:val="28"/>
          <w:szCs w:val="28"/>
        </w:rPr>
        <w:t>Gemeinsame Gewährleistung bringt Sicherheit im GaLaBau</w:t>
      </w:r>
    </w:p>
    <w:p w14:paraId="03A906F8" w14:textId="17AB29A0" w:rsidR="00003AAC" w:rsidRDefault="0022769C" w:rsidP="001008AF">
      <w:pPr>
        <w:pStyle w:val="BickenbachBergstrae-Datum"/>
      </w:pPr>
      <w:proofErr w:type="spellStart"/>
      <w:r w:rsidRPr="0022769C">
        <w:t>Bickenbach</w:t>
      </w:r>
      <w:proofErr w:type="spellEnd"/>
      <w:r w:rsidRPr="0022769C">
        <w:t xml:space="preserve">/Bergstraße, </w:t>
      </w:r>
      <w:r w:rsidR="00FD60A2">
        <w:t>21</w:t>
      </w:r>
      <w:r w:rsidRPr="0022769C">
        <w:t>.</w:t>
      </w:r>
      <w:r>
        <w:t xml:space="preserve"> </w:t>
      </w:r>
      <w:r w:rsidR="00D20BF6">
        <w:t>September</w:t>
      </w:r>
      <w:r w:rsidRPr="0022769C">
        <w:t xml:space="preserve"> 20</w:t>
      </w:r>
      <w:r w:rsidR="00D20BF6">
        <w:t>21</w:t>
      </w:r>
      <w:r w:rsidRPr="0022769C">
        <w:t>.</w:t>
      </w:r>
      <w:r>
        <w:t xml:space="preserve"> </w:t>
      </w:r>
      <w:r w:rsidR="00C27FB9">
        <w:t xml:space="preserve">Befahrbare Flächen, begehbare Beläge, Außentreppen: Ab sofort sind Garten- und Landschaftsbauer hier auf der sicheren Seite. Der </w:t>
      </w:r>
      <w:r w:rsidR="00C27FB9" w:rsidRPr="00F66A2D">
        <w:t xml:space="preserve">Entwässerungsspezialist Gutjahr und der Baustoffhersteller </w:t>
      </w:r>
      <w:r w:rsidR="002C62AE">
        <w:t>Sievert</w:t>
      </w:r>
      <w:r w:rsidR="00C27FB9">
        <w:t xml:space="preserve"> haben </w:t>
      </w:r>
      <w:r w:rsidR="000D584E">
        <w:t>neue</w:t>
      </w:r>
      <w:r w:rsidR="002E07C0">
        <w:t xml:space="preserve"> </w:t>
      </w:r>
      <w:r w:rsidR="00C27FB9">
        <w:t xml:space="preserve">umfangreiche Gewährleistungspartnerschaften für Komplettaufbauten </w:t>
      </w:r>
      <w:r w:rsidR="007879C1">
        <w:t>vereinbart</w:t>
      </w:r>
      <w:r w:rsidR="002C62AE">
        <w:t xml:space="preserve">, die aus Gutjahr-Flächendrainagen und </w:t>
      </w:r>
      <w:proofErr w:type="spellStart"/>
      <w:r w:rsidR="002C62AE">
        <w:t>tubag</w:t>
      </w:r>
      <w:proofErr w:type="spellEnd"/>
      <w:r w:rsidR="002C62AE">
        <w:t xml:space="preserve">-Mörtelprodukten bestehen. Damit </w:t>
      </w:r>
      <w:r w:rsidR="002E07C0">
        <w:t xml:space="preserve">setzen </w:t>
      </w:r>
      <w:r w:rsidR="002C62AE">
        <w:t>die Unternehmen</w:t>
      </w:r>
      <w:r w:rsidR="002E07C0">
        <w:t xml:space="preserve"> neue Maßstäbe für die Branche. </w:t>
      </w:r>
    </w:p>
    <w:p w14:paraId="067D0248" w14:textId="080EF38E" w:rsidR="008805A5" w:rsidRDefault="00F66A2D" w:rsidP="00625A77">
      <w:pPr>
        <w:pStyle w:val="berGutjahr"/>
      </w:pPr>
      <w:r>
        <w:t>Die Gewährleistungspartnerschaft</w:t>
      </w:r>
      <w:r w:rsidR="00F3762C">
        <w:t>en</w:t>
      </w:r>
      <w:r>
        <w:t xml:space="preserve"> zwischen den beiden Unternehmen bezieh</w:t>
      </w:r>
      <w:r w:rsidR="00F3762C">
        <w:t>en</w:t>
      </w:r>
      <w:r>
        <w:t xml:space="preserve"> sich auf </w:t>
      </w:r>
      <w:r w:rsidR="0072716C">
        <w:t>vier</w:t>
      </w:r>
      <w:r>
        <w:t xml:space="preserve"> konkrete Aufbau</w:t>
      </w:r>
      <w:r w:rsidR="00F3762C">
        <w:t>ten</w:t>
      </w:r>
      <w:r w:rsidR="00A312BD">
        <w:t>.</w:t>
      </w:r>
      <w:r w:rsidR="00F3762C">
        <w:t xml:space="preserve"> Gutjahr liefert dabei die Flächendrainagen, </w:t>
      </w:r>
      <w:r w:rsidR="000A796D">
        <w:t>die</w:t>
      </w:r>
      <w:r w:rsidR="00F3762C">
        <w:t xml:space="preserve"> Drainage</w:t>
      </w:r>
      <w:r w:rsidR="00F50AF5">
        <w:t>- und Pflaster</w:t>
      </w:r>
      <w:r w:rsidR="00F3762C">
        <w:t>fugenmörtel</w:t>
      </w:r>
      <w:r w:rsidR="000A796D">
        <w:t xml:space="preserve"> sind von </w:t>
      </w:r>
      <w:proofErr w:type="spellStart"/>
      <w:r w:rsidR="000A796D">
        <w:t>tubag</w:t>
      </w:r>
      <w:proofErr w:type="spellEnd"/>
      <w:r w:rsidR="00F3762C">
        <w:t xml:space="preserve">. </w:t>
      </w:r>
      <w:r w:rsidR="0072716C">
        <w:t>„Die Basis für diese Gewährleistungspartnerschaft</w:t>
      </w:r>
      <w:r w:rsidR="00A312BD">
        <w:t>en</w:t>
      </w:r>
      <w:r w:rsidR="0072716C">
        <w:t xml:space="preserve"> ist die langjährige </w:t>
      </w:r>
      <w:r w:rsidR="00EB79F3">
        <w:t>gute</w:t>
      </w:r>
      <w:r w:rsidR="0072716C">
        <w:t xml:space="preserve"> Zusammenarbeit zwischen Gutjahr und </w:t>
      </w:r>
      <w:r w:rsidR="007E5727">
        <w:t>Sievert</w:t>
      </w:r>
      <w:r w:rsidR="0072716C">
        <w:t xml:space="preserve"> und die </w:t>
      </w:r>
      <w:r w:rsidR="00F271DC">
        <w:t xml:space="preserve">vielen </w:t>
      </w:r>
      <w:r w:rsidR="00F50AF5">
        <w:t>er</w:t>
      </w:r>
      <w:r w:rsidR="00AA0EB0">
        <w:t>f</w:t>
      </w:r>
      <w:r w:rsidR="00F50AF5">
        <w:t xml:space="preserve">olgreichen </w:t>
      </w:r>
      <w:r w:rsidR="0072716C">
        <w:t>Projekte</w:t>
      </w:r>
      <w:r w:rsidR="00F50AF5">
        <w:t>, die wir in den letzten Jahren gemeinsam betreut haben</w:t>
      </w:r>
      <w:r w:rsidR="0072716C">
        <w:t xml:space="preserve">“, </w:t>
      </w:r>
      <w:r w:rsidR="00AF708D">
        <w:t xml:space="preserve">sagt </w:t>
      </w:r>
      <w:r w:rsidR="0072716C">
        <w:t>Gutjahr-Geschäftsführer Ralph Johann.</w:t>
      </w:r>
    </w:p>
    <w:p w14:paraId="04CD41C0" w14:textId="77777777" w:rsidR="008805A5" w:rsidRDefault="008805A5" w:rsidP="00625A77">
      <w:pPr>
        <w:pStyle w:val="berGutjahr"/>
      </w:pPr>
    </w:p>
    <w:p w14:paraId="51602210" w14:textId="77777777" w:rsidR="00625A77" w:rsidRDefault="00CC6932" w:rsidP="00625A77">
      <w:pPr>
        <w:pStyle w:val="berGutjahr"/>
      </w:pPr>
      <w:r>
        <w:t xml:space="preserve">Doch die Gewährleistungspartnerschaften gehen weit über die „normale“ Zusammenarbeit hinaus. Beide Unternehmen verpflichten sich, dass sie volle fünf </w:t>
      </w:r>
      <w:r w:rsidRPr="00680216">
        <w:t xml:space="preserve">Jahre für Mängel </w:t>
      </w:r>
      <w:r w:rsidR="00C2625B" w:rsidRPr="00680216">
        <w:t>am Systemaufbau</w:t>
      </w:r>
      <w:r w:rsidR="006D7547" w:rsidRPr="00680216">
        <w:t xml:space="preserve"> </w:t>
      </w:r>
      <w:r w:rsidRPr="00680216">
        <w:t>geradestehen</w:t>
      </w:r>
      <w:r w:rsidR="0044724E" w:rsidRPr="00680216">
        <w:t xml:space="preserve"> – gemeinsam</w:t>
      </w:r>
      <w:r w:rsidR="0022389A" w:rsidRPr="00680216">
        <w:t xml:space="preserve">. </w:t>
      </w:r>
      <w:r w:rsidR="008D76CB" w:rsidRPr="00680216">
        <w:t>Das</w:t>
      </w:r>
      <w:r w:rsidR="0022389A" w:rsidRPr="00680216">
        <w:t xml:space="preserve"> schließt auch die Frost- und Witterungsbeständigkeit der Materialien ein</w:t>
      </w:r>
      <w:r w:rsidRPr="00680216">
        <w:t>.</w:t>
      </w:r>
      <w:r w:rsidR="00E208D9" w:rsidRPr="00680216">
        <w:t xml:space="preserve"> </w:t>
      </w:r>
      <w:r w:rsidR="00AA0EB0" w:rsidRPr="00680216">
        <w:t xml:space="preserve">„Normalerweise haften Hersteller ja nur für die eignen </w:t>
      </w:r>
      <w:r w:rsidR="006E5D22" w:rsidRPr="00680216">
        <w:t>Produkte</w:t>
      </w:r>
      <w:r w:rsidR="00AA0EB0" w:rsidRPr="00680216">
        <w:t xml:space="preserve">. Hier stehen wir aber gemeinsam für den Komplettaufbau ein – auch dank aufeinander abgestimmter Materialien“, erläutert Ralph Johann. „Zudem haben wir die Materialien im Vorfeld gemeinsamen Prüfungen unterzogen. Das bedeutet für alle </w:t>
      </w:r>
      <w:r w:rsidR="008D76CB" w:rsidRPr="00680216">
        <w:t>Beteiligten ein hohes Maß an zusätzlicher Sicherheit</w:t>
      </w:r>
      <w:r w:rsidR="004D2E82" w:rsidRPr="00680216">
        <w:t>,</w:t>
      </w:r>
      <w:r w:rsidR="008D76CB" w:rsidRPr="00680216">
        <w:t xml:space="preserve"> zumal es </w:t>
      </w:r>
      <w:r w:rsidR="00DE35D8" w:rsidRPr="00680216">
        <w:t xml:space="preserve">keine </w:t>
      </w:r>
      <w:r w:rsidR="008D76CB" w:rsidRPr="00680216">
        <w:t>v</w:t>
      </w:r>
      <w:r w:rsidR="00E208D9" w:rsidRPr="00680216">
        <w:t>ergleichbare</w:t>
      </w:r>
      <w:r w:rsidR="00DE35D8" w:rsidRPr="00680216">
        <w:t>n</w:t>
      </w:r>
      <w:r w:rsidR="00E208D9" w:rsidRPr="00680216">
        <w:t xml:space="preserve"> </w:t>
      </w:r>
      <w:r w:rsidR="00F53E93" w:rsidRPr="00680216">
        <w:t>Vereinbarungen</w:t>
      </w:r>
      <w:r w:rsidR="00E208D9" w:rsidRPr="00680216">
        <w:t xml:space="preserve"> </w:t>
      </w:r>
      <w:r w:rsidR="00DE35D8" w:rsidRPr="00680216">
        <w:t>für</w:t>
      </w:r>
      <w:r w:rsidR="00E208D9" w:rsidRPr="00680216">
        <w:t xml:space="preserve"> </w:t>
      </w:r>
      <w:r w:rsidR="006E5D22" w:rsidRPr="00680216">
        <w:t xml:space="preserve">diesen </w:t>
      </w:r>
      <w:r w:rsidR="00E208D9" w:rsidRPr="00680216">
        <w:t xml:space="preserve">Bereich </w:t>
      </w:r>
      <w:r w:rsidR="008D76CB" w:rsidRPr="00680216">
        <w:t>gibt</w:t>
      </w:r>
      <w:r w:rsidR="00E208D9" w:rsidRPr="00680216">
        <w:t>.“</w:t>
      </w:r>
    </w:p>
    <w:p w14:paraId="7007AC4E" w14:textId="77777777" w:rsidR="001B6908" w:rsidRPr="00F66A2D" w:rsidRDefault="00D22734" w:rsidP="001B6908">
      <w:pPr>
        <w:pStyle w:val="berGutjahr"/>
        <w:spacing w:before="320"/>
        <w:rPr>
          <w:rStyle w:val="Fett"/>
        </w:rPr>
      </w:pPr>
      <w:r>
        <w:rPr>
          <w:rStyle w:val="Fett"/>
        </w:rPr>
        <w:t xml:space="preserve">Schutz für </w:t>
      </w:r>
      <w:r w:rsidR="00F50AF5">
        <w:rPr>
          <w:rStyle w:val="Fett"/>
        </w:rPr>
        <w:t>befahrbare Flächen</w:t>
      </w:r>
    </w:p>
    <w:p w14:paraId="716A2D23" w14:textId="77777777" w:rsidR="00A40044" w:rsidRDefault="00294F30" w:rsidP="001B6908">
      <w:pPr>
        <w:pStyle w:val="berGutjahr"/>
      </w:pPr>
      <w:r>
        <w:t xml:space="preserve">Einer </w:t>
      </w:r>
      <w:r w:rsidR="006E5D22">
        <w:t xml:space="preserve">der </w:t>
      </w:r>
      <w:r w:rsidR="008B415C">
        <w:t xml:space="preserve">Aufbauten </w:t>
      </w:r>
      <w:r>
        <w:t>bezieht sich auf hochbelastete, befahrbare Beläge auf gebundenen Untergründen. Dafür kommt die</w:t>
      </w:r>
      <w:r w:rsidR="008B415C">
        <w:t xml:space="preserve"> hochbelastbare Flächendrainage AquaDrain HB </w:t>
      </w:r>
      <w:r w:rsidR="00A40044">
        <w:t xml:space="preserve">in Kombination </w:t>
      </w:r>
      <w:r w:rsidR="008B415C">
        <w:t xml:space="preserve">mit </w:t>
      </w:r>
      <w:proofErr w:type="spellStart"/>
      <w:r w:rsidR="008B415C">
        <w:t>tubag</w:t>
      </w:r>
      <w:proofErr w:type="spellEnd"/>
      <w:r w:rsidR="008B415C">
        <w:t xml:space="preserve"> </w:t>
      </w:r>
      <w:r w:rsidR="00A40044">
        <w:t xml:space="preserve">TPM-D </w:t>
      </w:r>
      <w:proofErr w:type="spellStart"/>
      <w:r w:rsidR="008B415C">
        <w:t>Drainmörtel</w:t>
      </w:r>
      <w:proofErr w:type="spellEnd"/>
      <w:r w:rsidR="008B415C">
        <w:t>, Systemhaftbrücke und Pflasterfugenmörtel</w:t>
      </w:r>
      <w:r>
        <w:t xml:space="preserve"> zum Einsatz</w:t>
      </w:r>
      <w:r w:rsidR="00670CC8">
        <w:t xml:space="preserve"> – und er </w:t>
      </w:r>
      <w:r w:rsidR="008B415C" w:rsidRPr="00ED26DB">
        <w:t xml:space="preserve">ist </w:t>
      </w:r>
      <w:r w:rsidR="00ED26DB" w:rsidRPr="00ED26DB">
        <w:t>für Belastungen nach ZTV Wegebau N</w:t>
      </w:r>
      <w:r>
        <w:t>3</w:t>
      </w:r>
      <w:r w:rsidR="00ED26DB" w:rsidRPr="00ED26DB">
        <w:t xml:space="preserve"> oder </w:t>
      </w:r>
      <w:r w:rsidR="00F50AF5">
        <w:t>R</w:t>
      </w:r>
      <w:r w:rsidR="00ED26DB" w:rsidRPr="00ED26DB">
        <w:t>STO12, BK 0,3</w:t>
      </w:r>
      <w:r w:rsidR="008B415C" w:rsidRPr="00ED26DB">
        <w:t xml:space="preserve"> geeignet.</w:t>
      </w:r>
      <w:r w:rsidR="008B415C">
        <w:t xml:space="preserve"> </w:t>
      </w:r>
      <w:r w:rsidR="00135E22">
        <w:t>„Das bedeutet, dass die Flächen von Autos bis 3,5 Tonnen und gelegentlich von LKWs bis 20 Tonnen befahren werden können</w:t>
      </w:r>
      <w:r w:rsidR="002553F8">
        <w:t xml:space="preserve"> – also auch im öffentlichen Bereich</w:t>
      </w:r>
      <w:r w:rsidR="00135E22">
        <w:t xml:space="preserve">“, erläutert </w:t>
      </w:r>
      <w:r w:rsidR="00F50AF5">
        <w:t xml:space="preserve">Pier Petzinger, Leiter </w:t>
      </w:r>
      <w:r w:rsidR="00F50AF5">
        <w:lastRenderedPageBreak/>
        <w:t>Anwendungstechnik bei Gutjahr</w:t>
      </w:r>
      <w:r w:rsidR="00135E22">
        <w:t xml:space="preserve">. </w:t>
      </w:r>
      <w:r w:rsidR="00C42798">
        <w:t xml:space="preserve">„Die Flächendrainage </w:t>
      </w:r>
      <w:r w:rsidR="00AC7737">
        <w:t>sorgt dabei für eine schnelle und sichere Entwässerung und verhindert Schäden am Belag.“</w:t>
      </w:r>
    </w:p>
    <w:p w14:paraId="11527AD9" w14:textId="77777777" w:rsidR="00A40044" w:rsidRDefault="00A40044" w:rsidP="001B6908">
      <w:pPr>
        <w:pStyle w:val="berGutjahr"/>
      </w:pPr>
    </w:p>
    <w:p w14:paraId="243F964C" w14:textId="77777777" w:rsidR="008B6824" w:rsidRDefault="00EF34B7" w:rsidP="001B6908">
      <w:pPr>
        <w:pStyle w:val="berGutjahr"/>
      </w:pPr>
      <w:r>
        <w:t>Dasselbe gilt für Aufbauten mit der kapillarbrechenden Flächendrainage AquaDrain HU-EK und tubag TDM Trass-Drainagemörtel. Diese</w:t>
      </w:r>
      <w:r w:rsidR="00994693">
        <w:t>s System</w:t>
      </w:r>
      <w:r>
        <w:t xml:space="preserve"> ist f</w:t>
      </w:r>
      <w:r w:rsidR="00ED26DB">
        <w:t xml:space="preserve">ür geringere Belastungen bis Nutzungsklasse N2 der ZTV Wegebau </w:t>
      </w:r>
      <w:r>
        <w:t>ausgelegt, also etwa</w:t>
      </w:r>
      <w:r w:rsidR="00ED26DB">
        <w:t xml:space="preserve"> PKW-Stellplätze oder Garagenzufahren.</w:t>
      </w:r>
      <w:r w:rsidR="000D584E">
        <w:t xml:space="preserve"> </w:t>
      </w:r>
    </w:p>
    <w:p w14:paraId="3675B5AE" w14:textId="77777777" w:rsidR="00340D7E" w:rsidRDefault="00340D7E" w:rsidP="001B6908">
      <w:pPr>
        <w:pStyle w:val="berGutjahr"/>
      </w:pPr>
    </w:p>
    <w:p w14:paraId="5CC7A668" w14:textId="77777777" w:rsidR="00ED26DB" w:rsidRDefault="00711433" w:rsidP="001B6908">
      <w:pPr>
        <w:pStyle w:val="berGutjahr"/>
      </w:pPr>
      <w:r>
        <w:t>Ebenfalls n</w:t>
      </w:r>
      <w:r w:rsidR="00340D7E">
        <w:t xml:space="preserve">eu ist die Gewährleistungspartnerschaft rund um Außentreppen. </w:t>
      </w:r>
      <w:r>
        <w:t>Von Gutjahr können Verarbeiter die spezielle Stufendrainage AquaDrain SD einsetzen. „</w:t>
      </w:r>
      <w:r w:rsidRPr="00711433">
        <w:t xml:space="preserve">Das Besondere an </w:t>
      </w:r>
      <w:r>
        <w:t>diesem System</w:t>
      </w:r>
      <w:r w:rsidRPr="00711433">
        <w:t xml:space="preserve"> sind die vorgeformten Winkelelemente. Sie lassen sich direkt auf den Treppen verarbeiten und müssen nicht extra zugeschnitten werden. Das spart Zeit und verhindert Verarbeitungsfehler, die den einwandfreien Wasserabfluss behindern</w:t>
      </w:r>
      <w:r>
        <w:t>“, so Johann.</w:t>
      </w:r>
      <w:r w:rsidR="00F33467">
        <w:t xml:space="preserve"> </w:t>
      </w:r>
      <w:r w:rsidR="008805A5" w:rsidRPr="008805A5">
        <w:t xml:space="preserve">Bereits seit sechs Jahren gilt diese Art der Gewährleistung für begehbare </w:t>
      </w:r>
      <w:r w:rsidR="008805A5">
        <w:t>Außenbeläge auf der Gutjahr-Spezialdrainage AquaDrain EK und tubag-Produkten.</w:t>
      </w:r>
    </w:p>
    <w:p w14:paraId="7247C795" w14:textId="77777777" w:rsidR="008805A5" w:rsidRDefault="008805A5" w:rsidP="001B6908">
      <w:pPr>
        <w:pStyle w:val="berGutjahr"/>
      </w:pPr>
    </w:p>
    <w:p w14:paraId="46C09D3C" w14:textId="77777777" w:rsidR="00F73A04" w:rsidRPr="00F73A04" w:rsidRDefault="00F73A04" w:rsidP="001B6908">
      <w:pPr>
        <w:pStyle w:val="berGutjahr"/>
        <w:rPr>
          <w:b/>
          <w:bCs/>
        </w:rPr>
      </w:pPr>
      <w:r w:rsidRPr="00F73A04">
        <w:rPr>
          <w:b/>
          <w:bCs/>
        </w:rPr>
        <w:t>Unterlagen anfordern</w:t>
      </w:r>
    </w:p>
    <w:p w14:paraId="665CD53F" w14:textId="42C5AC5D" w:rsidR="008B6824" w:rsidRDefault="00F169C8" w:rsidP="001B6908">
      <w:pPr>
        <w:pStyle w:val="berGutjahr"/>
      </w:pPr>
      <w:r>
        <w:t>Die</w:t>
      </w:r>
      <w:r w:rsidR="008B6824">
        <w:t xml:space="preserve"> </w:t>
      </w:r>
      <w:r>
        <w:t xml:space="preserve">Unterlagen für die </w:t>
      </w:r>
      <w:r w:rsidR="008B6824">
        <w:t xml:space="preserve">Gewährleistungspartnerschaft </w:t>
      </w:r>
      <w:r w:rsidR="00824239">
        <w:t xml:space="preserve">können </w:t>
      </w:r>
      <w:r w:rsidR="008B6824">
        <w:t xml:space="preserve">bei </w:t>
      </w:r>
      <w:r>
        <w:t xml:space="preserve">einem der </w:t>
      </w:r>
      <w:r w:rsidR="008B6824">
        <w:t xml:space="preserve">beiden Hersteller </w:t>
      </w:r>
      <w:r>
        <w:t>angefordert werden</w:t>
      </w:r>
      <w:r w:rsidR="008B6824">
        <w:t xml:space="preserve">. </w:t>
      </w:r>
      <w:r w:rsidR="00AB19A5">
        <w:t xml:space="preserve">Zudem sind sie </w:t>
      </w:r>
      <w:r w:rsidR="00F47C5F">
        <w:t>in der Mediathek auf der</w:t>
      </w:r>
      <w:r w:rsidR="00AB19A5">
        <w:t xml:space="preserve"> Gutjahr-Website zu finden. </w:t>
      </w:r>
      <w:r>
        <w:t xml:space="preserve">„Sie müssen sowohl uns als auch </w:t>
      </w:r>
      <w:r w:rsidR="00E05A44">
        <w:t>Sievert</w:t>
      </w:r>
      <w:r>
        <w:t xml:space="preserve"> vor Objektbeginn vorliegen, dann </w:t>
      </w:r>
      <w:r w:rsidR="00AD1E47">
        <w:t>haften wir gemeinsam für den Aufbau</w:t>
      </w:r>
      <w:r>
        <w:t xml:space="preserve">“, sagt </w:t>
      </w:r>
      <w:r w:rsidR="00F50AF5">
        <w:t>Pier Petzinger</w:t>
      </w:r>
      <w:r>
        <w:t xml:space="preserve">. </w:t>
      </w:r>
    </w:p>
    <w:p w14:paraId="27B818DE" w14:textId="77777777" w:rsidR="00D20BF6" w:rsidRPr="005E7C23" w:rsidRDefault="00D20BF6" w:rsidP="00D20BF6">
      <w:pPr>
        <w:pStyle w:val="berGutjahr"/>
        <w:spacing w:before="320"/>
        <w:rPr>
          <w:b/>
        </w:rPr>
      </w:pPr>
      <w:r w:rsidRPr="005E7C23">
        <w:rPr>
          <w:b/>
        </w:rPr>
        <w:t>Über Gutjahr</w:t>
      </w:r>
    </w:p>
    <w:p w14:paraId="5C9EB811" w14:textId="77777777" w:rsidR="00D20BF6" w:rsidRPr="001008AF" w:rsidRDefault="00D20BF6" w:rsidP="00D20BF6">
      <w:pPr>
        <w:pStyle w:val="berGutjahr"/>
      </w:pPr>
      <w:r w:rsidRPr="002E2A84">
        <w:rPr>
          <w:lang w:val="de-CH"/>
        </w:rPr>
        <w:t xml:space="preserve">Gutjahr Systemtechnik mit Sitz in </w:t>
      </w:r>
      <w:proofErr w:type="spellStart"/>
      <w:r w:rsidRPr="002E2A84">
        <w:rPr>
          <w:lang w:val="de-CH"/>
        </w:rPr>
        <w:t>Bickenbach</w:t>
      </w:r>
      <w:proofErr w:type="spellEnd"/>
      <w:r w:rsidRPr="002E2A84">
        <w:rPr>
          <w:lang w:val="de-CH"/>
        </w:rPr>
        <w:t>/Bergstra</w:t>
      </w:r>
      <w:r>
        <w:rPr>
          <w:lang w:val="de-CH"/>
        </w:rPr>
        <w:t>ß</w:t>
      </w:r>
      <w:r w:rsidRPr="002E2A84">
        <w:rPr>
          <w:lang w:val="de-CH"/>
        </w:rPr>
        <w:t xml:space="preserve">e (Hessen) entwickelt seit </w:t>
      </w:r>
      <w:r>
        <w:rPr>
          <w:lang w:val="de-CH"/>
        </w:rPr>
        <w:t>mehr als 30</w:t>
      </w:r>
      <w:r w:rsidRPr="002E2A84">
        <w:rPr>
          <w:lang w:val="de-CH"/>
        </w:rPr>
        <w:t xml:space="preserve"> Jahren Komplettlösungen für die sichere Entwässerung, Entlüftung und Entkopplung von Belägen – auf Balkonen, Terrassen und Au</w:t>
      </w:r>
      <w:r>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w:t>
      </w:r>
      <w:proofErr w:type="spellStart"/>
      <w:r w:rsidRPr="00651E48">
        <w:rPr>
          <w:lang w:val="de-CH"/>
        </w:rPr>
        <w:t>Drainroste</w:t>
      </w:r>
      <w:proofErr w:type="spellEnd"/>
      <w:r w:rsidRPr="00651E48">
        <w:rPr>
          <w:lang w:val="de-CH"/>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 xml:space="preserve">erhalten. Seit 2014 gehört Gutjahr zur </w:t>
      </w:r>
      <w:proofErr w:type="spellStart"/>
      <w:r w:rsidRPr="002E2A84">
        <w:rPr>
          <w:lang w:val="de-CH"/>
        </w:rPr>
        <w:t>Ardex</w:t>
      </w:r>
      <w:proofErr w:type="spellEnd"/>
      <w:r w:rsidRPr="002E2A84">
        <w:rPr>
          <w:lang w:val="de-CH"/>
        </w:rPr>
        <w:t>-Gruppe.</w:t>
      </w:r>
      <w:r w:rsidRPr="001008AF">
        <w:t xml:space="preserve"> </w:t>
      </w:r>
    </w:p>
    <w:p w14:paraId="4EE968AF" w14:textId="7A3E258E" w:rsidR="0022769C" w:rsidRPr="001008AF" w:rsidRDefault="00D20BF6" w:rsidP="00AF5391">
      <w:pPr>
        <w:pStyle w:val="KontaktdatenPresseanfragen"/>
      </w:pPr>
      <w:r w:rsidRPr="001008AF">
        <w:rPr>
          <w:b/>
        </w:rPr>
        <w:t>Presseanfragen bitte an:</w:t>
      </w:r>
      <w:r>
        <w:rPr>
          <w:b/>
        </w:rPr>
        <w:br/>
      </w:r>
      <w:r w:rsidRPr="001008AF">
        <w:t xml:space="preserve">Arts &amp; </w:t>
      </w:r>
      <w:proofErr w:type="spellStart"/>
      <w:r w:rsidRPr="001008AF">
        <w:t>Others</w:t>
      </w:r>
      <w:proofErr w:type="spellEnd"/>
      <w:r w:rsidRPr="001008AF">
        <w:t xml:space="preserve">, Anja </w:t>
      </w:r>
      <w:proofErr w:type="spellStart"/>
      <w:r w:rsidRPr="001008AF">
        <w:t>Kassubek</w:t>
      </w:r>
      <w:proofErr w:type="spellEnd"/>
      <w:r w:rsidRPr="001008AF">
        <w:t>, Daimlerstraße 12, D-61352 Bad Homburg</w:t>
      </w:r>
      <w:r>
        <w:br/>
      </w:r>
      <w:r w:rsidRPr="001008AF">
        <w:t xml:space="preserve">Tel. 06172/9022-131, </w:t>
      </w:r>
      <w:hyperlink r:id="rId6" w:history="1">
        <w:r w:rsidRPr="00CE6CC9">
          <w:t>a.kassubek@arts-others.de</w:t>
        </w:r>
      </w:hyperlink>
    </w:p>
    <w:sectPr w:rsidR="0022769C" w:rsidRPr="001008AF" w:rsidSect="00AF5391">
      <w:headerReference w:type="default" r:id="rId7"/>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CD87" w14:textId="77777777" w:rsidR="00B87E9F" w:rsidRDefault="00B87E9F" w:rsidP="00EC4464">
      <w:pPr>
        <w:spacing w:line="240" w:lineRule="auto"/>
      </w:pPr>
      <w:r>
        <w:separator/>
      </w:r>
    </w:p>
  </w:endnote>
  <w:endnote w:type="continuationSeparator" w:id="0">
    <w:p w14:paraId="1EF999EB" w14:textId="77777777" w:rsidR="00B87E9F" w:rsidRDefault="00B87E9F"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9727" w14:textId="77777777" w:rsidR="00B87E9F" w:rsidRDefault="00B87E9F" w:rsidP="00EC4464">
      <w:pPr>
        <w:spacing w:line="240" w:lineRule="auto"/>
      </w:pPr>
      <w:r>
        <w:separator/>
      </w:r>
    </w:p>
  </w:footnote>
  <w:footnote w:type="continuationSeparator" w:id="0">
    <w:p w14:paraId="03C42E05" w14:textId="77777777" w:rsidR="00B87E9F" w:rsidRDefault="00B87E9F"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4F55"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7985C083" wp14:editId="1B37634B">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3AAC"/>
    <w:rsid w:val="00027207"/>
    <w:rsid w:val="000913C7"/>
    <w:rsid w:val="000A796D"/>
    <w:rsid w:val="000D584E"/>
    <w:rsid w:val="000E5E47"/>
    <w:rsid w:val="001008AF"/>
    <w:rsid w:val="00135E22"/>
    <w:rsid w:val="00176851"/>
    <w:rsid w:val="001B1807"/>
    <w:rsid w:val="001B6908"/>
    <w:rsid w:val="0022389A"/>
    <w:rsid w:val="0022769C"/>
    <w:rsid w:val="002527F3"/>
    <w:rsid w:val="002553F8"/>
    <w:rsid w:val="00273FFC"/>
    <w:rsid w:val="00286AE0"/>
    <w:rsid w:val="00294F30"/>
    <w:rsid w:val="002A0392"/>
    <w:rsid w:val="002A7BCB"/>
    <w:rsid w:val="002B5DE4"/>
    <w:rsid w:val="002C62AE"/>
    <w:rsid w:val="002E07C0"/>
    <w:rsid w:val="0030739D"/>
    <w:rsid w:val="0031115F"/>
    <w:rsid w:val="00335182"/>
    <w:rsid w:val="00340D7E"/>
    <w:rsid w:val="003A0555"/>
    <w:rsid w:val="00417B27"/>
    <w:rsid w:val="00446E5E"/>
    <w:rsid w:val="0044724E"/>
    <w:rsid w:val="00454059"/>
    <w:rsid w:val="004A4DD7"/>
    <w:rsid w:val="004D2E82"/>
    <w:rsid w:val="004F4750"/>
    <w:rsid w:val="00541AA9"/>
    <w:rsid w:val="0055528E"/>
    <w:rsid w:val="005B2DAB"/>
    <w:rsid w:val="005D3294"/>
    <w:rsid w:val="005E7C23"/>
    <w:rsid w:val="00613927"/>
    <w:rsid w:val="00625A77"/>
    <w:rsid w:val="00670CC8"/>
    <w:rsid w:val="00680216"/>
    <w:rsid w:val="006D3FC9"/>
    <w:rsid w:val="006D7547"/>
    <w:rsid w:val="006E5D22"/>
    <w:rsid w:val="006F42B6"/>
    <w:rsid w:val="00711433"/>
    <w:rsid w:val="0072716C"/>
    <w:rsid w:val="0077680C"/>
    <w:rsid w:val="007879C1"/>
    <w:rsid w:val="007C4B6B"/>
    <w:rsid w:val="007E5727"/>
    <w:rsid w:val="007F2554"/>
    <w:rsid w:val="00815339"/>
    <w:rsid w:val="00824239"/>
    <w:rsid w:val="00850283"/>
    <w:rsid w:val="00874287"/>
    <w:rsid w:val="008805A5"/>
    <w:rsid w:val="008B415C"/>
    <w:rsid w:val="008B4ADE"/>
    <w:rsid w:val="008B6824"/>
    <w:rsid w:val="008D3B54"/>
    <w:rsid w:val="008D76CB"/>
    <w:rsid w:val="008F41FA"/>
    <w:rsid w:val="00905269"/>
    <w:rsid w:val="00977468"/>
    <w:rsid w:val="00994693"/>
    <w:rsid w:val="009E5E9A"/>
    <w:rsid w:val="00A0063E"/>
    <w:rsid w:val="00A312BD"/>
    <w:rsid w:val="00A40044"/>
    <w:rsid w:val="00A77D9B"/>
    <w:rsid w:val="00AA0EB0"/>
    <w:rsid w:val="00AB19A5"/>
    <w:rsid w:val="00AC11CB"/>
    <w:rsid w:val="00AC7737"/>
    <w:rsid w:val="00AD1E47"/>
    <w:rsid w:val="00AE39CF"/>
    <w:rsid w:val="00AF5391"/>
    <w:rsid w:val="00AF708D"/>
    <w:rsid w:val="00B22197"/>
    <w:rsid w:val="00B308A3"/>
    <w:rsid w:val="00B87E9F"/>
    <w:rsid w:val="00BC7530"/>
    <w:rsid w:val="00BD0433"/>
    <w:rsid w:val="00C2625B"/>
    <w:rsid w:val="00C27FB9"/>
    <w:rsid w:val="00C360C1"/>
    <w:rsid w:val="00C42798"/>
    <w:rsid w:val="00C82CF0"/>
    <w:rsid w:val="00CB2590"/>
    <w:rsid w:val="00CB448C"/>
    <w:rsid w:val="00CC6932"/>
    <w:rsid w:val="00CE4D8C"/>
    <w:rsid w:val="00CF14FA"/>
    <w:rsid w:val="00D20BF6"/>
    <w:rsid w:val="00D22734"/>
    <w:rsid w:val="00D25509"/>
    <w:rsid w:val="00D338C6"/>
    <w:rsid w:val="00D673F8"/>
    <w:rsid w:val="00D845E7"/>
    <w:rsid w:val="00DE35D8"/>
    <w:rsid w:val="00E05A44"/>
    <w:rsid w:val="00E208D9"/>
    <w:rsid w:val="00E36124"/>
    <w:rsid w:val="00E501DD"/>
    <w:rsid w:val="00E54400"/>
    <w:rsid w:val="00E5459B"/>
    <w:rsid w:val="00EB79F3"/>
    <w:rsid w:val="00EC4464"/>
    <w:rsid w:val="00ED26DB"/>
    <w:rsid w:val="00ED26E4"/>
    <w:rsid w:val="00EF34B7"/>
    <w:rsid w:val="00F129FA"/>
    <w:rsid w:val="00F15C0C"/>
    <w:rsid w:val="00F169C8"/>
    <w:rsid w:val="00F271DC"/>
    <w:rsid w:val="00F33467"/>
    <w:rsid w:val="00F3762C"/>
    <w:rsid w:val="00F41E46"/>
    <w:rsid w:val="00F47C5F"/>
    <w:rsid w:val="00F50AF5"/>
    <w:rsid w:val="00F53E93"/>
    <w:rsid w:val="00F66A2D"/>
    <w:rsid w:val="00F73A04"/>
    <w:rsid w:val="00F9016D"/>
    <w:rsid w:val="00FA03C2"/>
    <w:rsid w:val="00FD60A2"/>
    <w:rsid w:val="00FD7771"/>
    <w:rsid w:val="00FE7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B59F2"/>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Fett">
    <w:name w:val="Strong"/>
    <w:basedOn w:val="Absatz-Standardschriftart"/>
    <w:uiPriority w:val="22"/>
    <w:qFormat/>
    <w:rsid w:val="00F66A2D"/>
    <w:rPr>
      <w:b/>
      <w:bCs/>
    </w:rPr>
  </w:style>
  <w:style w:type="character" w:styleId="Kommentarzeichen">
    <w:name w:val="annotation reference"/>
    <w:basedOn w:val="Absatz-Standardschriftart"/>
    <w:uiPriority w:val="99"/>
    <w:semiHidden/>
    <w:unhideWhenUsed/>
    <w:rsid w:val="00135E22"/>
    <w:rPr>
      <w:sz w:val="16"/>
      <w:szCs w:val="16"/>
    </w:rPr>
  </w:style>
  <w:style w:type="paragraph" w:styleId="Kommentartext">
    <w:name w:val="annotation text"/>
    <w:basedOn w:val="Standard"/>
    <w:link w:val="KommentartextZchn"/>
    <w:uiPriority w:val="99"/>
    <w:semiHidden/>
    <w:unhideWhenUsed/>
    <w:rsid w:val="00135E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5E22"/>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35E22"/>
    <w:rPr>
      <w:b/>
      <w:bCs/>
    </w:rPr>
  </w:style>
  <w:style w:type="character" w:customStyle="1" w:styleId="KommentarthemaZchn">
    <w:name w:val="Kommentarthema Zchn"/>
    <w:basedOn w:val="KommentartextZchn"/>
    <w:link w:val="Kommentarthema"/>
    <w:uiPriority w:val="99"/>
    <w:semiHidden/>
    <w:rsid w:val="00135E22"/>
    <w:rPr>
      <w:rFonts w:ascii="Arial Narrow" w:hAnsi="Arial Narrow"/>
      <w:b/>
      <w:bCs/>
      <w:sz w:val="20"/>
      <w:szCs w:val="20"/>
    </w:rPr>
  </w:style>
  <w:style w:type="paragraph" w:styleId="Sprechblasentext">
    <w:name w:val="Balloon Text"/>
    <w:basedOn w:val="Standard"/>
    <w:link w:val="SprechblasentextZchn"/>
    <w:uiPriority w:val="99"/>
    <w:semiHidden/>
    <w:unhideWhenUsed/>
    <w:rsid w:val="00135E22"/>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35E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83</cp:revision>
  <dcterms:created xsi:type="dcterms:W3CDTF">2019-07-24T13:11:00Z</dcterms:created>
  <dcterms:modified xsi:type="dcterms:W3CDTF">2021-09-17T08:22:00Z</dcterms:modified>
</cp:coreProperties>
</file>